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9C57D" w14:textId="77777777" w:rsidR="00C72566" w:rsidRDefault="00C72566" w:rsidP="00C72566">
      <w:pPr>
        <w:rPr>
          <w:sz w:val="24"/>
          <w:szCs w:val="24"/>
        </w:rPr>
      </w:pPr>
      <w:bookmarkStart w:id="0" w:name="_GoBack"/>
      <w:bookmarkEnd w:id="0"/>
      <w:r w:rsidRPr="00414EF0">
        <w:rPr>
          <w:b/>
          <w:color w:val="548DD4" w:themeColor="text2" w:themeTint="99"/>
          <w:sz w:val="28"/>
          <w:szCs w:val="28"/>
        </w:rPr>
        <w:t>Pediatrics</w:t>
      </w:r>
      <w:r w:rsidRPr="004E49BE">
        <w:rPr>
          <w:b/>
          <w:color w:val="548DD4" w:themeColor="text2" w:themeTint="99"/>
          <w:sz w:val="24"/>
          <w:szCs w:val="24"/>
        </w:rPr>
        <w:t xml:space="preserve"> </w:t>
      </w:r>
      <w:r w:rsidRPr="004E49BE">
        <w:rPr>
          <w:sz w:val="24"/>
          <w:szCs w:val="24"/>
        </w:rPr>
        <w:t xml:space="preserve"> </w:t>
      </w:r>
    </w:p>
    <w:p w14:paraId="554A4305" w14:textId="77777777" w:rsidR="00C72566" w:rsidRPr="00414EF0" w:rsidRDefault="00C72566" w:rsidP="00C72566">
      <w:pPr>
        <w:rPr>
          <w:b/>
          <w:color w:val="548DD4" w:themeColor="text2" w:themeTint="99"/>
          <w:sz w:val="28"/>
          <w:szCs w:val="28"/>
        </w:rPr>
      </w:pPr>
      <w:r w:rsidRPr="00414EF0">
        <w:rPr>
          <w:b/>
          <w:color w:val="548DD4" w:themeColor="text2" w:themeTint="99"/>
          <w:sz w:val="28"/>
          <w:szCs w:val="28"/>
        </w:rPr>
        <w:t>by Ashwin</w:t>
      </w:r>
      <w:r>
        <w:rPr>
          <w:b/>
          <w:color w:val="548DD4" w:themeColor="text2" w:themeTint="99"/>
          <w:sz w:val="28"/>
          <w:szCs w:val="28"/>
        </w:rPr>
        <w:t xml:space="preserve"> Rammohan</w:t>
      </w:r>
      <w:r w:rsidRPr="00414EF0">
        <w:rPr>
          <w:b/>
          <w:color w:val="548DD4" w:themeColor="text2" w:themeTint="99"/>
          <w:sz w:val="28"/>
          <w:szCs w:val="28"/>
        </w:rPr>
        <w:t xml:space="preserve"> </w:t>
      </w:r>
      <w:r w:rsidRPr="004D40D0">
        <w:rPr>
          <w:b/>
          <w:color w:val="548DD4" w:themeColor="text2" w:themeTint="99"/>
          <w:sz w:val="28"/>
          <w:szCs w:val="28"/>
        </w:rPr>
        <w:t>and Irene Scalera</w:t>
      </w:r>
      <w:r>
        <w:rPr>
          <w:b/>
          <w:color w:val="548DD4" w:themeColor="text2" w:themeTint="99"/>
          <w:sz w:val="28"/>
          <w:szCs w:val="28"/>
        </w:rPr>
        <w:t xml:space="preserve"> </w:t>
      </w:r>
    </w:p>
    <w:p w14:paraId="44F31CD8" w14:textId="77777777" w:rsidR="004E12D8" w:rsidRDefault="004E12D8" w:rsidP="00C72566">
      <w:pPr>
        <w:spacing w:line="360" w:lineRule="auto"/>
        <w:jc w:val="both"/>
        <w:rPr>
          <w:rFonts w:cs="Times New Roman"/>
          <w:b/>
          <w:sz w:val="24"/>
          <w:szCs w:val="24"/>
        </w:rPr>
      </w:pPr>
    </w:p>
    <w:p w14:paraId="1CFA0543" w14:textId="77777777" w:rsidR="00C72566" w:rsidRPr="004E49BE" w:rsidRDefault="007D2151" w:rsidP="00C72566">
      <w:pPr>
        <w:spacing w:line="360" w:lineRule="auto"/>
        <w:jc w:val="both"/>
        <w:rPr>
          <w:rFonts w:cs="Times New Roman"/>
          <w:b/>
          <w:sz w:val="24"/>
          <w:szCs w:val="24"/>
        </w:rPr>
      </w:pPr>
      <w:r>
        <w:rPr>
          <w:rFonts w:cs="Times New Roman"/>
          <w:b/>
          <w:sz w:val="24"/>
          <w:szCs w:val="24"/>
        </w:rPr>
        <w:t xml:space="preserve">Paediatric Session I: </w:t>
      </w:r>
      <w:r w:rsidRPr="007D2151">
        <w:rPr>
          <w:b/>
          <w:sz w:val="24"/>
          <w:szCs w:val="24"/>
        </w:rPr>
        <w:t>Liver Transplantation for Children in the 21st Century – Right Recipient, Right Donor</w:t>
      </w:r>
    </w:p>
    <w:p w14:paraId="3EA8AB24" w14:textId="77777777" w:rsidR="00C72566" w:rsidRDefault="00C72566" w:rsidP="00C72566">
      <w:pPr>
        <w:rPr>
          <w:rFonts w:cs="Times New Roman"/>
          <w:b/>
          <w:sz w:val="24"/>
          <w:szCs w:val="24"/>
        </w:rPr>
      </w:pPr>
      <w:r w:rsidRPr="004E49BE">
        <w:rPr>
          <w:rFonts w:cs="Times New Roman"/>
          <w:b/>
          <w:sz w:val="24"/>
          <w:szCs w:val="24"/>
        </w:rPr>
        <w:t>Expanding Indications for P</w:t>
      </w:r>
      <w:r>
        <w:rPr>
          <w:rFonts w:cs="Times New Roman"/>
          <w:b/>
          <w:sz w:val="24"/>
          <w:szCs w:val="24"/>
        </w:rPr>
        <w:t xml:space="preserve">ediatric </w:t>
      </w:r>
      <w:r w:rsidRPr="004E49BE">
        <w:rPr>
          <w:rFonts w:cs="Times New Roman"/>
          <w:b/>
          <w:sz w:val="24"/>
          <w:szCs w:val="24"/>
        </w:rPr>
        <w:t>LT: How to identify the need?</w:t>
      </w:r>
    </w:p>
    <w:p w14:paraId="67BA48B6" w14:textId="77777777" w:rsidR="00C72566" w:rsidRPr="00A36185" w:rsidRDefault="00C72566" w:rsidP="00C72566">
      <w:pPr>
        <w:rPr>
          <w:rFonts w:cstheme="minorHAnsi"/>
          <w:b/>
          <w:i/>
          <w:color w:val="808080" w:themeColor="background1" w:themeShade="80"/>
          <w:sz w:val="24"/>
          <w:szCs w:val="24"/>
        </w:rPr>
      </w:pPr>
      <w:r>
        <w:rPr>
          <w:rFonts w:cstheme="minorHAnsi"/>
          <w:b/>
          <w:i/>
          <w:color w:val="808080" w:themeColor="background1" w:themeShade="80"/>
          <w:sz w:val="24"/>
          <w:szCs w:val="24"/>
        </w:rPr>
        <w:t xml:space="preserve"> John Bucavalas</w:t>
      </w:r>
      <w:r w:rsidRPr="005C1B68">
        <w:rPr>
          <w:rFonts w:cstheme="minorHAnsi"/>
          <w:b/>
          <w:i/>
          <w:color w:val="808080" w:themeColor="background1" w:themeShade="80"/>
          <w:sz w:val="24"/>
          <w:szCs w:val="24"/>
        </w:rPr>
        <w:t xml:space="preserve">, </w:t>
      </w:r>
      <w:r>
        <w:rPr>
          <w:rFonts w:cstheme="minorHAnsi"/>
          <w:b/>
          <w:i/>
          <w:color w:val="808080" w:themeColor="background1" w:themeShade="80"/>
          <w:sz w:val="24"/>
          <w:szCs w:val="24"/>
        </w:rPr>
        <w:t>New York, United States</w:t>
      </w:r>
    </w:p>
    <w:p w14:paraId="708456A4" w14:textId="77777777" w:rsidR="00C72566" w:rsidRDefault="00C72566" w:rsidP="00C72566">
      <w:pPr>
        <w:jc w:val="both"/>
        <w:rPr>
          <w:rFonts w:cs="Times New Roman"/>
          <w:sz w:val="24"/>
          <w:szCs w:val="24"/>
        </w:rPr>
      </w:pPr>
      <w:r w:rsidRPr="004E49BE">
        <w:rPr>
          <w:rFonts w:cs="Times New Roman"/>
          <w:sz w:val="24"/>
          <w:szCs w:val="24"/>
        </w:rPr>
        <w:t xml:space="preserve">The aim of the talk was to highlight the need to develop a framework for </w:t>
      </w:r>
      <w:r>
        <w:rPr>
          <w:rFonts w:cs="Times New Roman"/>
          <w:sz w:val="24"/>
          <w:szCs w:val="24"/>
        </w:rPr>
        <w:t>pediatric</w:t>
      </w:r>
      <w:r w:rsidRPr="004E49BE">
        <w:rPr>
          <w:rFonts w:cs="Times New Roman"/>
          <w:sz w:val="24"/>
          <w:szCs w:val="24"/>
        </w:rPr>
        <w:t xml:space="preserve"> LT indications.  The broad framework for indications of PLT are to improve survival, remove future risk and to improve the QOL. There needs to be balance bet</w:t>
      </w:r>
      <w:r>
        <w:rPr>
          <w:rFonts w:cs="Times New Roman"/>
          <w:sz w:val="24"/>
          <w:szCs w:val="24"/>
        </w:rPr>
        <w:t>ween the potential benefit of transplant</w:t>
      </w:r>
      <w:r w:rsidRPr="004E49BE">
        <w:rPr>
          <w:rFonts w:cs="Times New Roman"/>
          <w:sz w:val="24"/>
          <w:szCs w:val="24"/>
        </w:rPr>
        <w:t xml:space="preserve"> being balanced against the risks of </w:t>
      </w:r>
      <w:r>
        <w:rPr>
          <w:rFonts w:cs="Times New Roman"/>
          <w:sz w:val="24"/>
          <w:szCs w:val="24"/>
        </w:rPr>
        <w:t>transplant</w:t>
      </w:r>
      <w:r w:rsidRPr="004E49BE">
        <w:rPr>
          <w:rFonts w:cs="Times New Roman"/>
          <w:sz w:val="24"/>
          <w:szCs w:val="24"/>
        </w:rPr>
        <w:t xml:space="preserve"> and the availability of organs.</w:t>
      </w:r>
    </w:p>
    <w:p w14:paraId="1FFCBA55" w14:textId="77777777" w:rsidR="00C72566" w:rsidRPr="00A36185" w:rsidRDefault="00C72566" w:rsidP="00C72566">
      <w:pPr>
        <w:jc w:val="both"/>
        <w:rPr>
          <w:rFonts w:cs="Times New Roman"/>
          <w:sz w:val="24"/>
          <w:szCs w:val="24"/>
        </w:rPr>
      </w:pPr>
    </w:p>
    <w:p w14:paraId="3D84FFF5" w14:textId="77777777" w:rsidR="00C72566" w:rsidRDefault="00C72566" w:rsidP="00C72566">
      <w:pPr>
        <w:rPr>
          <w:rFonts w:cs="Times New Roman"/>
          <w:b/>
          <w:sz w:val="24"/>
          <w:szCs w:val="24"/>
        </w:rPr>
      </w:pPr>
      <w:r w:rsidRPr="004E49BE">
        <w:rPr>
          <w:rFonts w:cs="Times New Roman"/>
          <w:b/>
          <w:sz w:val="24"/>
          <w:szCs w:val="24"/>
        </w:rPr>
        <w:t>Saving livers whilst saving lives in advanced hepatoblastoma: extended resection vs</w:t>
      </w:r>
      <w:r>
        <w:rPr>
          <w:rFonts w:cs="Times New Roman"/>
          <w:b/>
          <w:sz w:val="24"/>
          <w:szCs w:val="24"/>
        </w:rPr>
        <w:t>.</w:t>
      </w:r>
      <w:r w:rsidRPr="004E49BE">
        <w:rPr>
          <w:rFonts w:cs="Times New Roman"/>
          <w:b/>
          <w:sz w:val="24"/>
          <w:szCs w:val="24"/>
        </w:rPr>
        <w:t xml:space="preserve"> liver transplantation</w:t>
      </w:r>
      <w:r>
        <w:rPr>
          <w:rFonts w:cs="Times New Roman"/>
          <w:b/>
          <w:sz w:val="24"/>
          <w:szCs w:val="24"/>
        </w:rPr>
        <w:t xml:space="preserve"> </w:t>
      </w:r>
    </w:p>
    <w:p w14:paraId="325C32DF" w14:textId="77777777" w:rsidR="00C72566" w:rsidRPr="00A36185" w:rsidRDefault="00C72566" w:rsidP="00C72566">
      <w:pPr>
        <w:rPr>
          <w:rFonts w:cstheme="minorHAnsi"/>
          <w:b/>
          <w:i/>
          <w:color w:val="808080" w:themeColor="background1" w:themeShade="80"/>
          <w:sz w:val="24"/>
          <w:szCs w:val="24"/>
        </w:rPr>
      </w:pPr>
      <w:r>
        <w:rPr>
          <w:rFonts w:cstheme="minorHAnsi"/>
          <w:b/>
          <w:i/>
          <w:color w:val="808080" w:themeColor="background1" w:themeShade="80"/>
          <w:sz w:val="24"/>
          <w:szCs w:val="24"/>
        </w:rPr>
        <w:t>Greg Tiao</w:t>
      </w:r>
      <w:r w:rsidRPr="005C1B68">
        <w:rPr>
          <w:rFonts w:cstheme="minorHAnsi"/>
          <w:b/>
          <w:i/>
          <w:color w:val="808080" w:themeColor="background1" w:themeShade="80"/>
          <w:sz w:val="24"/>
          <w:szCs w:val="24"/>
        </w:rPr>
        <w:t xml:space="preserve">, </w:t>
      </w:r>
      <w:r>
        <w:rPr>
          <w:rFonts w:cstheme="minorHAnsi"/>
          <w:b/>
          <w:i/>
          <w:color w:val="808080" w:themeColor="background1" w:themeShade="80"/>
          <w:sz w:val="24"/>
          <w:szCs w:val="24"/>
        </w:rPr>
        <w:t>Cincinnati, United States</w:t>
      </w:r>
    </w:p>
    <w:p w14:paraId="161858D3" w14:textId="77777777" w:rsidR="00C72566" w:rsidRPr="004E49BE" w:rsidRDefault="00C72566" w:rsidP="00C72566">
      <w:pPr>
        <w:jc w:val="both"/>
        <w:rPr>
          <w:rFonts w:cs="Times New Roman"/>
          <w:sz w:val="24"/>
          <w:szCs w:val="24"/>
        </w:rPr>
      </w:pPr>
      <w:r w:rsidRPr="004E49BE">
        <w:rPr>
          <w:rFonts w:cs="Times New Roman"/>
          <w:sz w:val="24"/>
          <w:szCs w:val="24"/>
        </w:rPr>
        <w:t>The topic of the talk was changed to include LT in challenging cohorts of hepatoblastoma.</w:t>
      </w:r>
      <w:r>
        <w:rPr>
          <w:rFonts w:cs="Times New Roman"/>
          <w:sz w:val="24"/>
          <w:szCs w:val="24"/>
        </w:rPr>
        <w:t xml:space="preserve"> </w:t>
      </w:r>
      <w:r w:rsidRPr="004E49BE">
        <w:rPr>
          <w:rFonts w:cs="Times New Roman"/>
          <w:sz w:val="24"/>
          <w:szCs w:val="24"/>
        </w:rPr>
        <w:t>Hepatoblastoma have 80-90% survival</w:t>
      </w:r>
      <w:r>
        <w:rPr>
          <w:rFonts w:cs="Times New Roman"/>
          <w:sz w:val="24"/>
          <w:szCs w:val="24"/>
        </w:rPr>
        <w:t>,</w:t>
      </w:r>
      <w:r w:rsidRPr="004E49BE">
        <w:rPr>
          <w:rFonts w:cs="Times New Roman"/>
          <w:sz w:val="24"/>
          <w:szCs w:val="24"/>
        </w:rPr>
        <w:t xml:space="preserve"> and are the most common childhood tumours. 60% of these are unresectable at diagnosis and will need neoadjuvant chemotherapy, of which 20% will remain unresectable. Current transplant indications include: PRETEXT 4 tumours (solitary or multifocal), and central tumours involving the hilum or hepatic veins. Treatment for those with extrahepatic disease include induction chemotherapy followed by resection or transplant in the absence of extrahepatic disease. When pulmonary metastases do not clear with chemotherapy, pulmonary resection is recommended following induction chemotherapy. Navigation surgery based on injection of indocyanin green helps pick out extrahepatic metastatic disease, enabling a thorough resection. As compared to previously available data, which suggested rescue transplant following primary resection had poorer outcomes; the gap is narrowing with 86% survival for primary Tx and 75% for rescue LTx. (Trobaugh Loatrio et al, Semeraro et al.) In the presence of &gt;40% viable tumour cells in post-surgery specimen histopathology, adjuvant chemotherapy has to be altered as it means the tumour has not become resistant to chemotherapy.</w:t>
      </w:r>
    </w:p>
    <w:p w14:paraId="3F1458E4" w14:textId="77777777" w:rsidR="00C72566" w:rsidRPr="004E49BE" w:rsidRDefault="00C72566" w:rsidP="00C72566">
      <w:pPr>
        <w:spacing w:line="360" w:lineRule="auto"/>
        <w:rPr>
          <w:rFonts w:cs="Times New Roman"/>
          <w:sz w:val="24"/>
          <w:szCs w:val="24"/>
        </w:rPr>
      </w:pPr>
    </w:p>
    <w:p w14:paraId="0AA2EC30" w14:textId="77777777" w:rsidR="00C72566" w:rsidRDefault="00C72566" w:rsidP="00C72566">
      <w:pPr>
        <w:rPr>
          <w:rFonts w:cs="Times New Roman"/>
          <w:b/>
          <w:sz w:val="24"/>
          <w:szCs w:val="24"/>
        </w:rPr>
      </w:pPr>
      <w:r w:rsidRPr="004E49BE">
        <w:rPr>
          <w:rFonts w:cs="Times New Roman"/>
          <w:b/>
          <w:sz w:val="24"/>
          <w:szCs w:val="24"/>
        </w:rPr>
        <w:lastRenderedPageBreak/>
        <w:t>The agelessness of frailty in liver transplantation</w:t>
      </w:r>
      <w:r>
        <w:rPr>
          <w:rFonts w:cs="Times New Roman"/>
          <w:b/>
          <w:sz w:val="24"/>
          <w:szCs w:val="24"/>
        </w:rPr>
        <w:t xml:space="preserve"> </w:t>
      </w:r>
    </w:p>
    <w:p w14:paraId="274B9A3F" w14:textId="77777777" w:rsidR="00C72566" w:rsidRPr="00971975" w:rsidRDefault="00C72566" w:rsidP="00C72566">
      <w:pPr>
        <w:rPr>
          <w:rFonts w:cstheme="minorHAnsi"/>
          <w:b/>
          <w:i/>
          <w:color w:val="808080" w:themeColor="background1" w:themeShade="80"/>
          <w:sz w:val="24"/>
          <w:szCs w:val="24"/>
        </w:rPr>
      </w:pPr>
      <w:r>
        <w:rPr>
          <w:rFonts w:cstheme="minorHAnsi"/>
          <w:b/>
          <w:i/>
          <w:color w:val="808080" w:themeColor="background1" w:themeShade="80"/>
          <w:sz w:val="24"/>
          <w:szCs w:val="24"/>
        </w:rPr>
        <w:t>Binitha Kamath</w:t>
      </w:r>
      <w:r w:rsidRPr="005C1B68">
        <w:rPr>
          <w:rFonts w:cstheme="minorHAnsi"/>
          <w:b/>
          <w:i/>
          <w:color w:val="808080" w:themeColor="background1" w:themeShade="80"/>
          <w:sz w:val="24"/>
          <w:szCs w:val="24"/>
        </w:rPr>
        <w:t xml:space="preserve">, </w:t>
      </w:r>
      <w:r>
        <w:rPr>
          <w:rFonts w:cstheme="minorHAnsi"/>
          <w:b/>
          <w:i/>
          <w:color w:val="808080" w:themeColor="background1" w:themeShade="80"/>
          <w:sz w:val="24"/>
          <w:szCs w:val="24"/>
        </w:rPr>
        <w:t>Toronto, Canada</w:t>
      </w:r>
    </w:p>
    <w:p w14:paraId="1A692E31" w14:textId="77777777" w:rsidR="00C72566" w:rsidRPr="004E49BE" w:rsidRDefault="00C72566" w:rsidP="00C72566">
      <w:pPr>
        <w:jc w:val="both"/>
        <w:rPr>
          <w:rFonts w:cs="Times New Roman"/>
          <w:sz w:val="24"/>
          <w:szCs w:val="24"/>
        </w:rPr>
      </w:pPr>
      <w:r w:rsidRPr="004E49BE">
        <w:rPr>
          <w:rFonts w:cs="Times New Roman"/>
          <w:sz w:val="24"/>
          <w:szCs w:val="24"/>
        </w:rPr>
        <w:t>Frailty is defined as the biologic syndrome of decreased reserve and resistance to stressors, resulting from cumulative declines across multiple physiologic systems and causing vulnerability to adverse outcomes. Sarcopenia remains the biological measure of frailty. There is no data on the effect of frailty in children, most are extrapolated from adult studies.</w:t>
      </w:r>
      <w:r>
        <w:rPr>
          <w:rFonts w:cs="Times New Roman"/>
          <w:sz w:val="24"/>
          <w:szCs w:val="24"/>
        </w:rPr>
        <w:t xml:space="preserve"> Adult</w:t>
      </w:r>
      <w:r w:rsidRPr="004E49BE">
        <w:rPr>
          <w:rFonts w:cs="Times New Roman"/>
          <w:sz w:val="24"/>
          <w:szCs w:val="24"/>
        </w:rPr>
        <w:t xml:space="preserve"> frailty, as objectively measured using the Fried Frailty Index strongly predicts waitlist mortality and post-transplant outcomes. A modified paediatric frailty index has been proposed, to measure frailty in children &gt;5 years of age. Measuring weakness, slowness, exhaustion, shrinkage and diminished </w:t>
      </w:r>
      <w:r>
        <w:rPr>
          <w:rFonts w:cs="Times New Roman"/>
          <w:sz w:val="24"/>
          <w:szCs w:val="24"/>
        </w:rPr>
        <w:t>physical activity. Ongoing studies are trying</w:t>
      </w:r>
      <w:r w:rsidRPr="004E49BE">
        <w:rPr>
          <w:rFonts w:cs="Times New Roman"/>
          <w:sz w:val="24"/>
          <w:szCs w:val="24"/>
        </w:rPr>
        <w:t xml:space="preserve"> to assess if it predicts outcomes in children.  </w:t>
      </w:r>
    </w:p>
    <w:p w14:paraId="501DD655" w14:textId="77777777" w:rsidR="00C72566" w:rsidRPr="004E49BE" w:rsidRDefault="00C72566" w:rsidP="00C72566">
      <w:pPr>
        <w:spacing w:line="360" w:lineRule="auto"/>
        <w:rPr>
          <w:rFonts w:cs="Times New Roman"/>
          <w:sz w:val="24"/>
          <w:szCs w:val="24"/>
        </w:rPr>
      </w:pPr>
    </w:p>
    <w:p w14:paraId="23B44E20" w14:textId="77777777" w:rsidR="00C72566" w:rsidRDefault="00C72566" w:rsidP="00C72566">
      <w:pPr>
        <w:rPr>
          <w:rFonts w:cs="Times New Roman"/>
          <w:b/>
          <w:sz w:val="24"/>
          <w:szCs w:val="24"/>
        </w:rPr>
      </w:pPr>
      <w:r w:rsidRPr="004E49BE">
        <w:rPr>
          <w:rFonts w:cs="Times New Roman"/>
          <w:b/>
          <w:sz w:val="24"/>
          <w:szCs w:val="24"/>
        </w:rPr>
        <w:t>Expanding the donor pool</w:t>
      </w:r>
      <w:r>
        <w:rPr>
          <w:rFonts w:cs="Times New Roman"/>
          <w:b/>
          <w:sz w:val="24"/>
          <w:szCs w:val="24"/>
        </w:rPr>
        <w:t xml:space="preserve"> </w:t>
      </w:r>
    </w:p>
    <w:p w14:paraId="5725F3E5" w14:textId="77777777" w:rsidR="00C72566" w:rsidRPr="001F2B8A" w:rsidRDefault="00C72566" w:rsidP="00C72566">
      <w:pPr>
        <w:rPr>
          <w:rFonts w:cstheme="minorHAnsi"/>
          <w:b/>
          <w:i/>
          <w:color w:val="808080" w:themeColor="background1" w:themeShade="80"/>
          <w:sz w:val="24"/>
          <w:szCs w:val="24"/>
        </w:rPr>
      </w:pPr>
      <w:r>
        <w:rPr>
          <w:rFonts w:cstheme="minorHAnsi"/>
          <w:b/>
          <w:i/>
          <w:color w:val="808080" w:themeColor="background1" w:themeShade="80"/>
          <w:sz w:val="24"/>
          <w:szCs w:val="24"/>
        </w:rPr>
        <w:t>Paolo Muiesan</w:t>
      </w:r>
      <w:r w:rsidRPr="005C1B68">
        <w:rPr>
          <w:rFonts w:cstheme="minorHAnsi"/>
          <w:b/>
          <w:i/>
          <w:color w:val="808080" w:themeColor="background1" w:themeShade="80"/>
          <w:sz w:val="24"/>
          <w:szCs w:val="24"/>
        </w:rPr>
        <w:t xml:space="preserve">, </w:t>
      </w:r>
      <w:r>
        <w:rPr>
          <w:rFonts w:cstheme="minorHAnsi"/>
          <w:b/>
          <w:i/>
          <w:color w:val="808080" w:themeColor="background1" w:themeShade="80"/>
          <w:sz w:val="24"/>
          <w:szCs w:val="24"/>
        </w:rPr>
        <w:t>New York, Birmingham, United Kingdom</w:t>
      </w:r>
    </w:p>
    <w:p w14:paraId="660A82F6" w14:textId="77777777" w:rsidR="00C72566" w:rsidRPr="004E49BE" w:rsidRDefault="00C72566" w:rsidP="00C72566">
      <w:pPr>
        <w:jc w:val="both"/>
        <w:rPr>
          <w:rFonts w:cs="Times New Roman"/>
          <w:sz w:val="24"/>
          <w:szCs w:val="24"/>
        </w:rPr>
      </w:pPr>
      <w:r>
        <w:rPr>
          <w:rFonts w:cs="Times New Roman"/>
          <w:sz w:val="24"/>
          <w:szCs w:val="24"/>
        </w:rPr>
        <w:t>T</w:t>
      </w:r>
      <w:r w:rsidRPr="004E49BE">
        <w:rPr>
          <w:rFonts w:cs="Times New Roman"/>
          <w:sz w:val="24"/>
          <w:szCs w:val="24"/>
        </w:rPr>
        <w:t xml:space="preserve">he donor pool can be </w:t>
      </w:r>
      <w:r>
        <w:rPr>
          <w:rFonts w:cs="Times New Roman"/>
          <w:sz w:val="24"/>
          <w:szCs w:val="24"/>
        </w:rPr>
        <w:t xml:space="preserve">expanded in children </w:t>
      </w:r>
      <w:r w:rsidRPr="004E49BE">
        <w:rPr>
          <w:rFonts w:cs="Times New Roman"/>
          <w:sz w:val="24"/>
          <w:szCs w:val="24"/>
        </w:rPr>
        <w:t>in many ways. Political ways would include increasing cadaveric donation, promoting splitting of organs, expanding living donations and maximising altruistic donations for children. Technical methods to increase the number of available organs would include expanding and utilising the “marginal donor” pool, domino transplants and utilisation of machine perfusion. According to the ELITA data 2010, the donor age for split grafts can be extended to 50 years of age.  Neonatal donors lead to poorer outcomes because of an immature synthetic function, a higher incidence of HAT due to higher resistance</w:t>
      </w:r>
      <w:r>
        <w:rPr>
          <w:rFonts w:cs="Times New Roman"/>
          <w:sz w:val="24"/>
          <w:szCs w:val="24"/>
        </w:rPr>
        <w:t>,</w:t>
      </w:r>
      <w:r w:rsidRPr="004E49BE">
        <w:rPr>
          <w:rFonts w:cs="Times New Roman"/>
          <w:sz w:val="24"/>
          <w:szCs w:val="24"/>
        </w:rPr>
        <w:t xml:space="preserve"> and a higher risk of SFSS. </w:t>
      </w:r>
    </w:p>
    <w:p w14:paraId="3C4F115A" w14:textId="77777777" w:rsidR="00C72566" w:rsidRPr="004E49BE" w:rsidRDefault="00C72566" w:rsidP="00C72566">
      <w:pPr>
        <w:spacing w:line="360" w:lineRule="auto"/>
        <w:rPr>
          <w:rFonts w:cs="Times New Roman"/>
          <w:sz w:val="24"/>
          <w:szCs w:val="24"/>
        </w:rPr>
      </w:pPr>
    </w:p>
    <w:p w14:paraId="40597872" w14:textId="77777777" w:rsidR="00C72566" w:rsidRDefault="00C72566" w:rsidP="00C72566">
      <w:pPr>
        <w:spacing w:line="360" w:lineRule="auto"/>
        <w:rPr>
          <w:rFonts w:cs="Times New Roman"/>
          <w:b/>
          <w:sz w:val="24"/>
          <w:szCs w:val="24"/>
        </w:rPr>
      </w:pPr>
      <w:r w:rsidRPr="00414EF0">
        <w:rPr>
          <w:b/>
          <w:sz w:val="24"/>
          <w:szCs w:val="24"/>
        </w:rPr>
        <w:t xml:space="preserve">O-130 </w:t>
      </w:r>
      <w:r w:rsidRPr="004E49BE">
        <w:rPr>
          <w:rFonts w:cs="Times New Roman"/>
          <w:b/>
          <w:sz w:val="24"/>
          <w:szCs w:val="24"/>
        </w:rPr>
        <w:t>Quantitative immunophen</w:t>
      </w:r>
      <w:r>
        <w:rPr>
          <w:rFonts w:cs="Times New Roman"/>
          <w:b/>
          <w:sz w:val="24"/>
          <w:szCs w:val="24"/>
        </w:rPr>
        <w:t>o</w:t>
      </w:r>
      <w:r w:rsidRPr="004E49BE">
        <w:rPr>
          <w:rFonts w:cs="Times New Roman"/>
          <w:b/>
          <w:sz w:val="24"/>
          <w:szCs w:val="24"/>
        </w:rPr>
        <w:t>typing of liv</w:t>
      </w:r>
      <w:r>
        <w:rPr>
          <w:rFonts w:cs="Times New Roman"/>
          <w:b/>
          <w:sz w:val="24"/>
          <w:szCs w:val="24"/>
        </w:rPr>
        <w:t xml:space="preserve">er biopsies predicts successful </w:t>
      </w:r>
      <w:r w:rsidRPr="004E49BE">
        <w:rPr>
          <w:rFonts w:cs="Times New Roman"/>
          <w:b/>
          <w:sz w:val="24"/>
          <w:szCs w:val="24"/>
        </w:rPr>
        <w:t>immunosuppression withdraw</w:t>
      </w:r>
      <w:r>
        <w:rPr>
          <w:rFonts w:cs="Times New Roman"/>
          <w:b/>
          <w:sz w:val="24"/>
          <w:szCs w:val="24"/>
        </w:rPr>
        <w:t xml:space="preserve">al in pediatric LT recipients </w:t>
      </w:r>
    </w:p>
    <w:p w14:paraId="436E8395" w14:textId="77777777" w:rsidR="00C72566" w:rsidRPr="003C4D41" w:rsidRDefault="00C72566" w:rsidP="00C72566">
      <w:pPr>
        <w:spacing w:line="360" w:lineRule="auto"/>
        <w:rPr>
          <w:rFonts w:cs="Times New Roman"/>
          <w:b/>
          <w:i/>
          <w:color w:val="808080" w:themeColor="background1" w:themeShade="80"/>
          <w:sz w:val="24"/>
          <w:szCs w:val="24"/>
        </w:rPr>
      </w:pPr>
      <w:r w:rsidRPr="003C4D41">
        <w:rPr>
          <w:b/>
          <w:i/>
          <w:color w:val="808080" w:themeColor="background1" w:themeShade="80"/>
          <w:sz w:val="24"/>
          <w:szCs w:val="24"/>
        </w:rPr>
        <w:t>John Bucuvalas, New York, United States</w:t>
      </w:r>
    </w:p>
    <w:p w14:paraId="01BAC0A0" w14:textId="77777777" w:rsidR="00C72566" w:rsidRDefault="00C72566" w:rsidP="00C72566">
      <w:pPr>
        <w:jc w:val="both"/>
        <w:rPr>
          <w:rFonts w:cs="Times New Roman"/>
          <w:sz w:val="24"/>
          <w:szCs w:val="24"/>
        </w:rPr>
      </w:pPr>
      <w:r>
        <w:rPr>
          <w:rFonts w:cs="Times New Roman"/>
          <w:sz w:val="24"/>
          <w:szCs w:val="24"/>
        </w:rPr>
        <w:t>This was a multicenter</w:t>
      </w:r>
      <w:r w:rsidRPr="004E49BE">
        <w:rPr>
          <w:rFonts w:cs="Times New Roman"/>
          <w:sz w:val="24"/>
          <w:szCs w:val="24"/>
        </w:rPr>
        <w:t xml:space="preserve"> (12 centres) clinical trial looking at the efficacy of immunosuppression (IS) withdrawal, defined as operational tolerance (OT) in children. OT was defined as normal liver enzymes, and stable liver histology 1 year after the last dose of IS.</w:t>
      </w:r>
      <w:r>
        <w:rPr>
          <w:rFonts w:cs="Times New Roman"/>
          <w:sz w:val="24"/>
          <w:szCs w:val="24"/>
        </w:rPr>
        <w:t xml:space="preserve"> </w:t>
      </w:r>
      <w:r w:rsidRPr="004E49BE">
        <w:rPr>
          <w:rFonts w:cs="Times New Roman"/>
          <w:sz w:val="24"/>
          <w:szCs w:val="24"/>
        </w:rPr>
        <w:t xml:space="preserve">Of the 3000 post LT recipients who were screened, 88 met clinical (Normal LFT, no rejection in the past 2 years, non-viral, non-autoimmune etiology) and biopsy (no portal, peri-venular inflammation, absence of bile duct changes, fibrosis or arteriopathy) criteria for withdrawing IS, 33 </w:t>
      </w:r>
      <w:r w:rsidRPr="004E49BE">
        <w:rPr>
          <w:rFonts w:cs="Times New Roman"/>
          <w:sz w:val="24"/>
          <w:szCs w:val="24"/>
        </w:rPr>
        <w:lastRenderedPageBreak/>
        <w:t>achieved OT.</w:t>
      </w:r>
      <w:r>
        <w:rPr>
          <w:rFonts w:cs="Times New Roman"/>
          <w:sz w:val="24"/>
          <w:szCs w:val="24"/>
        </w:rPr>
        <w:t xml:space="preserve"> </w:t>
      </w:r>
      <w:r w:rsidRPr="004E49BE">
        <w:rPr>
          <w:rFonts w:cs="Times New Roman"/>
          <w:sz w:val="24"/>
          <w:szCs w:val="24"/>
        </w:rPr>
        <w:t>Baseline demographic, clinical or serological features did not predict outcomes. Presence of mild portal inflammation, lobular MHC II+/CD45+ pairs, MAC387, CD8 patterns and development of de-novo donor specific antibody (DSA) predicted failure of IS withdrawal. Interestingly, those who failed OT, went back on their original dose IS, did not need higher IS. Those who had rejection needed to be pulsed.</w:t>
      </w:r>
    </w:p>
    <w:p w14:paraId="747C7743" w14:textId="77777777" w:rsidR="00C72566" w:rsidRPr="00E360F0" w:rsidRDefault="00C72566" w:rsidP="00C72566">
      <w:pPr>
        <w:jc w:val="both"/>
        <w:rPr>
          <w:rFonts w:cs="Times New Roman"/>
          <w:sz w:val="24"/>
          <w:szCs w:val="24"/>
        </w:rPr>
      </w:pPr>
    </w:p>
    <w:p w14:paraId="65F84DEF" w14:textId="77777777" w:rsidR="00C72566" w:rsidRDefault="00C72566" w:rsidP="00C72566">
      <w:pPr>
        <w:spacing w:line="360" w:lineRule="auto"/>
        <w:jc w:val="both"/>
        <w:rPr>
          <w:rFonts w:cs="Times New Roman"/>
          <w:b/>
          <w:sz w:val="24"/>
          <w:szCs w:val="24"/>
        </w:rPr>
      </w:pPr>
      <w:r w:rsidRPr="004350F0">
        <w:rPr>
          <w:b/>
          <w:sz w:val="24"/>
          <w:szCs w:val="24"/>
        </w:rPr>
        <w:t xml:space="preserve">O-131 </w:t>
      </w:r>
      <w:r w:rsidRPr="004E49BE">
        <w:rPr>
          <w:rFonts w:cs="Times New Roman"/>
          <w:b/>
          <w:sz w:val="24"/>
          <w:szCs w:val="24"/>
        </w:rPr>
        <w:t>Next gen sequencing reveals a role of MMP7 in the liver in Biliary atresia</w:t>
      </w:r>
      <w:r>
        <w:rPr>
          <w:rFonts w:cs="Times New Roman"/>
          <w:b/>
          <w:sz w:val="24"/>
          <w:szCs w:val="24"/>
        </w:rPr>
        <w:t xml:space="preserve"> </w:t>
      </w:r>
    </w:p>
    <w:p w14:paraId="01D2BFB1" w14:textId="77777777" w:rsidR="00C72566" w:rsidRPr="00E360F0" w:rsidRDefault="00C72566" w:rsidP="00C72566">
      <w:pPr>
        <w:spacing w:line="360" w:lineRule="auto"/>
        <w:jc w:val="both"/>
        <w:rPr>
          <w:rFonts w:cs="Times New Roman"/>
          <w:b/>
          <w:i/>
          <w:color w:val="808080" w:themeColor="background1" w:themeShade="80"/>
          <w:sz w:val="24"/>
          <w:szCs w:val="24"/>
        </w:rPr>
      </w:pPr>
      <w:r w:rsidRPr="00E360F0">
        <w:rPr>
          <w:b/>
          <w:i/>
          <w:color w:val="808080" w:themeColor="background1" w:themeShade="80"/>
          <w:sz w:val="24"/>
          <w:szCs w:val="24"/>
        </w:rPr>
        <w:t>Priya Ramachandran, Chennai, India</w:t>
      </w:r>
    </w:p>
    <w:p w14:paraId="0D109211" w14:textId="77777777" w:rsidR="00C72566" w:rsidRPr="004E49BE" w:rsidRDefault="00C72566" w:rsidP="00C72566">
      <w:pPr>
        <w:jc w:val="both"/>
        <w:rPr>
          <w:rFonts w:cs="Times New Roman"/>
          <w:sz w:val="24"/>
          <w:szCs w:val="24"/>
        </w:rPr>
      </w:pPr>
      <w:r w:rsidRPr="004E49BE">
        <w:rPr>
          <w:rFonts w:cs="Times New Roman"/>
          <w:sz w:val="24"/>
          <w:szCs w:val="24"/>
        </w:rPr>
        <w:t>At present, 50% of those who undergo Kasai portoenterostomy</w:t>
      </w:r>
      <w:r>
        <w:rPr>
          <w:rFonts w:cs="Times New Roman"/>
          <w:sz w:val="24"/>
          <w:szCs w:val="24"/>
        </w:rPr>
        <w:t xml:space="preserve"> </w:t>
      </w:r>
      <w:r w:rsidRPr="004E49BE">
        <w:rPr>
          <w:rFonts w:cs="Times New Roman"/>
          <w:sz w:val="24"/>
          <w:szCs w:val="24"/>
        </w:rPr>
        <w:t xml:space="preserve">(KPE) will eventually need a LT. Clinical, biochemical and histological factors do not correlate with outcomes of KPE. Biomarkers – matrix metalloproteinase 7 (MMP7) was noted to be upregulated in failed KPE, and predicted the likelihood of progression of liver disease. </w:t>
      </w:r>
    </w:p>
    <w:p w14:paraId="4FC04276" w14:textId="77777777" w:rsidR="00C72566" w:rsidRPr="004E49BE" w:rsidRDefault="00C72566" w:rsidP="00C72566">
      <w:pPr>
        <w:jc w:val="both"/>
        <w:rPr>
          <w:rFonts w:cs="Times New Roman"/>
          <w:sz w:val="24"/>
          <w:szCs w:val="24"/>
        </w:rPr>
      </w:pPr>
    </w:p>
    <w:p w14:paraId="1DC280C0" w14:textId="77777777" w:rsidR="00C72566" w:rsidRDefault="00C72566" w:rsidP="00C72566">
      <w:pPr>
        <w:jc w:val="both"/>
        <w:rPr>
          <w:rFonts w:cs="Times New Roman"/>
          <w:b/>
          <w:sz w:val="24"/>
          <w:szCs w:val="24"/>
        </w:rPr>
      </w:pPr>
      <w:r>
        <w:rPr>
          <w:b/>
          <w:sz w:val="24"/>
          <w:szCs w:val="24"/>
        </w:rPr>
        <w:t>O-132</w:t>
      </w:r>
      <w:r w:rsidRPr="004350F0">
        <w:rPr>
          <w:b/>
          <w:sz w:val="24"/>
          <w:szCs w:val="24"/>
        </w:rPr>
        <w:t xml:space="preserve"> Silent allograft fibrosis in 10-year post-transplantation histology of pediatric liver transplantation: is it really silent?</w:t>
      </w:r>
      <w:r w:rsidRPr="004350F0">
        <w:rPr>
          <w:rFonts w:cs="Times New Roman"/>
          <w:b/>
          <w:sz w:val="24"/>
          <w:szCs w:val="24"/>
        </w:rPr>
        <w:t xml:space="preserve"> </w:t>
      </w:r>
    </w:p>
    <w:p w14:paraId="49D212C7" w14:textId="77777777" w:rsidR="00C72566" w:rsidRPr="004350F0" w:rsidRDefault="00C72566" w:rsidP="00C72566">
      <w:pPr>
        <w:jc w:val="both"/>
        <w:rPr>
          <w:b/>
          <w:sz w:val="24"/>
          <w:szCs w:val="24"/>
        </w:rPr>
      </w:pPr>
      <w:r w:rsidRPr="00E360F0">
        <w:rPr>
          <w:b/>
          <w:i/>
          <w:color w:val="808080" w:themeColor="background1" w:themeShade="80"/>
          <w:sz w:val="24"/>
          <w:szCs w:val="24"/>
        </w:rPr>
        <w:t>Seohee Lee, Seoul, Korea, Republic of</w:t>
      </w:r>
      <w:r w:rsidRPr="004350F0">
        <w:rPr>
          <w:b/>
          <w:sz w:val="24"/>
          <w:szCs w:val="24"/>
        </w:rPr>
        <w:t xml:space="preserve"> </w:t>
      </w:r>
    </w:p>
    <w:p w14:paraId="1B272BA5" w14:textId="77777777" w:rsidR="00C72566" w:rsidRPr="004E49BE" w:rsidRDefault="00C72566" w:rsidP="00C72566">
      <w:pPr>
        <w:jc w:val="both"/>
        <w:rPr>
          <w:rFonts w:cs="Times New Roman"/>
          <w:sz w:val="24"/>
          <w:szCs w:val="24"/>
        </w:rPr>
      </w:pPr>
      <w:r w:rsidRPr="004E49BE">
        <w:rPr>
          <w:rFonts w:cs="Times New Roman"/>
          <w:sz w:val="24"/>
          <w:szCs w:val="24"/>
        </w:rPr>
        <w:t>Korean study of 66 clinically stable children undergoing 10-year protocol biopsy. 47% of the biopsies showed METAVIR fibrosis stage ≥1. Risk factors for long term fibrosis included previous episode of rejection, mean total bilirubin</w:t>
      </w:r>
      <w:r>
        <w:rPr>
          <w:rFonts w:cs="Times New Roman"/>
          <w:sz w:val="24"/>
          <w:szCs w:val="24"/>
        </w:rPr>
        <w:t xml:space="preserve"> </w:t>
      </w:r>
      <w:r w:rsidRPr="004E49BE">
        <w:rPr>
          <w:rFonts w:cs="Times New Roman"/>
          <w:sz w:val="24"/>
          <w:szCs w:val="24"/>
        </w:rPr>
        <w:t>≥1.0</w:t>
      </w:r>
      <w:r>
        <w:rPr>
          <w:rFonts w:cs="Times New Roman"/>
          <w:sz w:val="24"/>
          <w:szCs w:val="24"/>
        </w:rPr>
        <w:t xml:space="preserve"> </w:t>
      </w:r>
      <w:r w:rsidRPr="004E49BE">
        <w:rPr>
          <w:rFonts w:cs="Times New Roman"/>
          <w:sz w:val="24"/>
          <w:szCs w:val="24"/>
        </w:rPr>
        <w:t>mg/dl</w:t>
      </w:r>
      <w:r>
        <w:rPr>
          <w:rFonts w:cs="Times New Roman"/>
          <w:sz w:val="24"/>
          <w:szCs w:val="24"/>
        </w:rPr>
        <w:t>,</w:t>
      </w:r>
      <w:r w:rsidRPr="004E49BE">
        <w:rPr>
          <w:rFonts w:cs="Times New Roman"/>
          <w:sz w:val="24"/>
          <w:szCs w:val="24"/>
        </w:rPr>
        <w:t xml:space="preserve"> and &gt; 3 events with aminotransferases &gt;50U/L. </w:t>
      </w:r>
    </w:p>
    <w:p w14:paraId="48C21A21" w14:textId="77777777" w:rsidR="00C72566" w:rsidRPr="004E49BE" w:rsidRDefault="00C72566" w:rsidP="00C72566">
      <w:pPr>
        <w:spacing w:line="360" w:lineRule="auto"/>
        <w:rPr>
          <w:rFonts w:cs="Times New Roman"/>
          <w:sz w:val="24"/>
          <w:szCs w:val="24"/>
        </w:rPr>
      </w:pPr>
    </w:p>
    <w:p w14:paraId="59713EE0" w14:textId="77777777" w:rsidR="00C72566" w:rsidRDefault="00C72566" w:rsidP="00C72566">
      <w:pPr>
        <w:spacing w:line="360" w:lineRule="auto"/>
        <w:rPr>
          <w:b/>
          <w:sz w:val="24"/>
          <w:szCs w:val="24"/>
        </w:rPr>
      </w:pPr>
      <w:r w:rsidRPr="004350F0">
        <w:rPr>
          <w:b/>
          <w:sz w:val="24"/>
          <w:szCs w:val="24"/>
        </w:rPr>
        <w:t>O-133 - Liver allograft fibrosis after pediatric liver transplantation: risk factors and tools for early detection</w:t>
      </w:r>
    </w:p>
    <w:p w14:paraId="6885FDE0" w14:textId="77777777" w:rsidR="00C72566" w:rsidRDefault="00C72566" w:rsidP="00C72566">
      <w:pPr>
        <w:spacing w:line="360" w:lineRule="auto"/>
        <w:rPr>
          <w:b/>
          <w:sz w:val="24"/>
          <w:szCs w:val="24"/>
        </w:rPr>
      </w:pPr>
      <w:r w:rsidRPr="00E360F0">
        <w:rPr>
          <w:b/>
          <w:i/>
          <w:color w:val="808080" w:themeColor="background1" w:themeShade="80"/>
          <w:sz w:val="24"/>
          <w:szCs w:val="24"/>
        </w:rPr>
        <w:t>Roberta Angelico, Rome, Italy</w:t>
      </w:r>
      <w:r w:rsidRPr="004350F0">
        <w:rPr>
          <w:b/>
          <w:sz w:val="24"/>
          <w:szCs w:val="24"/>
        </w:rPr>
        <w:t xml:space="preserve"> </w:t>
      </w:r>
    </w:p>
    <w:p w14:paraId="776966CB" w14:textId="77777777" w:rsidR="00C72566" w:rsidRPr="004E49BE" w:rsidRDefault="00C72566" w:rsidP="00C72566">
      <w:pPr>
        <w:rPr>
          <w:rFonts w:cs="Times New Roman"/>
          <w:sz w:val="24"/>
          <w:szCs w:val="24"/>
        </w:rPr>
      </w:pPr>
      <w:r w:rsidRPr="004350F0">
        <w:rPr>
          <w:sz w:val="24"/>
          <w:szCs w:val="24"/>
        </w:rPr>
        <w:t>Italian study of 200 children who underwent periodic</w:t>
      </w:r>
      <w:r w:rsidRPr="004350F0">
        <w:rPr>
          <w:rFonts w:cs="Times New Roman"/>
          <w:sz w:val="24"/>
          <w:szCs w:val="24"/>
        </w:rPr>
        <w:t xml:space="preserve"> protocol biopsies up</w:t>
      </w:r>
      <w:r>
        <w:rPr>
          <w:rFonts w:cs="Times New Roman"/>
          <w:sz w:val="24"/>
          <w:szCs w:val="24"/>
        </w:rPr>
        <w:t xml:space="preserve"> </w:t>
      </w:r>
      <w:r w:rsidRPr="004350F0">
        <w:rPr>
          <w:rFonts w:cs="Times New Roman"/>
          <w:sz w:val="24"/>
          <w:szCs w:val="24"/>
        </w:rPr>
        <w:t>to 5 years post-transplant. 82% had some form fibrosis (META</w:t>
      </w:r>
      <w:r w:rsidRPr="004E49BE">
        <w:rPr>
          <w:rFonts w:cs="Times New Roman"/>
          <w:sz w:val="24"/>
          <w:szCs w:val="24"/>
        </w:rPr>
        <w:t xml:space="preserve">VIR stage ≥1) on their biopsy.   On multivariate analysis, only risk factor for fibrosis progression was post LT biliary complications. </w:t>
      </w:r>
    </w:p>
    <w:p w14:paraId="21997395" w14:textId="77777777" w:rsidR="00C72566" w:rsidRPr="004E49BE" w:rsidRDefault="00C72566" w:rsidP="00C72566">
      <w:pPr>
        <w:spacing w:line="360" w:lineRule="auto"/>
        <w:rPr>
          <w:rFonts w:cs="Times New Roman"/>
          <w:sz w:val="24"/>
          <w:szCs w:val="24"/>
        </w:rPr>
      </w:pPr>
    </w:p>
    <w:p w14:paraId="073671AE" w14:textId="77777777" w:rsidR="002D2EB2" w:rsidRDefault="00C72566" w:rsidP="00C72566">
      <w:pPr>
        <w:spacing w:line="360" w:lineRule="auto"/>
        <w:rPr>
          <w:b/>
          <w:sz w:val="24"/>
          <w:szCs w:val="24"/>
        </w:rPr>
      </w:pPr>
      <w:r w:rsidRPr="00E3242C">
        <w:rPr>
          <w:b/>
          <w:sz w:val="24"/>
          <w:szCs w:val="24"/>
        </w:rPr>
        <w:lastRenderedPageBreak/>
        <w:t xml:space="preserve">O-134 - Paediatric domino liver transplant from paediatric multi visceral transplant recipient </w:t>
      </w:r>
    </w:p>
    <w:p w14:paraId="16F3DC18" w14:textId="4EB3E7D8" w:rsidR="00C72566" w:rsidRPr="00E3242C" w:rsidRDefault="00C72566" w:rsidP="00C72566">
      <w:pPr>
        <w:spacing w:line="360" w:lineRule="auto"/>
        <w:rPr>
          <w:b/>
          <w:sz w:val="24"/>
          <w:szCs w:val="24"/>
        </w:rPr>
      </w:pPr>
      <w:r w:rsidRPr="009C3666">
        <w:rPr>
          <w:b/>
          <w:i/>
          <w:color w:val="808080" w:themeColor="background1" w:themeShade="80"/>
          <w:sz w:val="24"/>
          <w:szCs w:val="24"/>
        </w:rPr>
        <w:t>Aamir Nawaz, London, United Kingdom</w:t>
      </w:r>
      <w:r w:rsidRPr="00E3242C">
        <w:rPr>
          <w:b/>
          <w:sz w:val="24"/>
          <w:szCs w:val="24"/>
        </w:rPr>
        <w:t xml:space="preserve"> </w:t>
      </w:r>
    </w:p>
    <w:p w14:paraId="244F4AB4" w14:textId="77777777" w:rsidR="00C72566" w:rsidRPr="004E49BE" w:rsidRDefault="00C72566" w:rsidP="00C72566">
      <w:pPr>
        <w:rPr>
          <w:rFonts w:cs="Times New Roman"/>
          <w:sz w:val="24"/>
          <w:szCs w:val="24"/>
        </w:rPr>
      </w:pPr>
      <w:r w:rsidRPr="004E49BE">
        <w:rPr>
          <w:rFonts w:cs="Times New Roman"/>
          <w:sz w:val="24"/>
          <w:szCs w:val="24"/>
        </w:rPr>
        <w:t xml:space="preserve">The recipient was suffering from intestinal neuropathic dysmotility with a normal liver (on appearance, function and histology). This liver was domino transplanted into a cholestatic liver disease recipient. </w:t>
      </w:r>
    </w:p>
    <w:p w14:paraId="10F1A7E5" w14:textId="77777777" w:rsidR="00C72566" w:rsidRPr="004E49BE" w:rsidRDefault="00C72566" w:rsidP="00C72566">
      <w:pPr>
        <w:spacing w:line="360" w:lineRule="auto"/>
        <w:rPr>
          <w:rFonts w:cs="Times New Roman"/>
          <w:sz w:val="24"/>
          <w:szCs w:val="24"/>
        </w:rPr>
      </w:pPr>
    </w:p>
    <w:p w14:paraId="21C2C121" w14:textId="77777777" w:rsidR="00C72566" w:rsidRDefault="00C72566" w:rsidP="00C72566">
      <w:pPr>
        <w:spacing w:line="360" w:lineRule="auto"/>
        <w:rPr>
          <w:b/>
          <w:sz w:val="24"/>
          <w:szCs w:val="24"/>
        </w:rPr>
      </w:pPr>
      <w:r w:rsidRPr="00E3242C">
        <w:rPr>
          <w:b/>
          <w:sz w:val="24"/>
          <w:szCs w:val="24"/>
        </w:rPr>
        <w:t xml:space="preserve">O-135 - Pediatric liver transplantation in mainland China </w:t>
      </w:r>
    </w:p>
    <w:p w14:paraId="4777C6A9" w14:textId="77777777" w:rsidR="00C72566" w:rsidRPr="002E6CD9" w:rsidRDefault="00C72566" w:rsidP="00C72566">
      <w:pPr>
        <w:spacing w:line="360" w:lineRule="auto"/>
        <w:rPr>
          <w:b/>
          <w:i/>
          <w:color w:val="808080" w:themeColor="background1" w:themeShade="80"/>
          <w:sz w:val="24"/>
          <w:szCs w:val="24"/>
        </w:rPr>
      </w:pPr>
      <w:r w:rsidRPr="002E6CD9">
        <w:rPr>
          <w:b/>
          <w:i/>
          <w:color w:val="808080" w:themeColor="background1" w:themeShade="80"/>
          <w:sz w:val="24"/>
          <w:szCs w:val="24"/>
        </w:rPr>
        <w:t xml:space="preserve">Feng Xue, Shanghai, China </w:t>
      </w:r>
    </w:p>
    <w:p w14:paraId="590D19A9" w14:textId="77777777" w:rsidR="00C72566" w:rsidRPr="004E49BE" w:rsidRDefault="00C72566" w:rsidP="00C72566">
      <w:pPr>
        <w:rPr>
          <w:rFonts w:cs="Times New Roman"/>
          <w:sz w:val="24"/>
          <w:szCs w:val="24"/>
        </w:rPr>
      </w:pPr>
      <w:r w:rsidRPr="004E49BE">
        <w:rPr>
          <w:rFonts w:cs="Times New Roman"/>
          <w:sz w:val="24"/>
          <w:szCs w:val="24"/>
        </w:rPr>
        <w:t xml:space="preserve">There were 731 re-transplants of the 8188 post-LT children on the SRTR database. Prognostic scoring tool was formulated based on the significant risk factors – age, primary diagnosis, survival time of the first graft, graft type, donor age&gt;40 years. Scoring tool risks were stratified into low (0-4), medium (5-7), high (8+) points and internally validated.  </w:t>
      </w:r>
    </w:p>
    <w:p w14:paraId="669E412F" w14:textId="77777777" w:rsidR="00C72566" w:rsidRPr="004E49BE" w:rsidRDefault="00C72566" w:rsidP="00C72566">
      <w:pPr>
        <w:spacing w:line="360" w:lineRule="auto"/>
        <w:rPr>
          <w:rFonts w:cs="Times New Roman"/>
          <w:sz w:val="24"/>
          <w:szCs w:val="24"/>
        </w:rPr>
      </w:pPr>
    </w:p>
    <w:p w14:paraId="60378B47" w14:textId="77777777" w:rsidR="00C72566" w:rsidRDefault="00C72566" w:rsidP="00C72566">
      <w:pPr>
        <w:spacing w:line="360" w:lineRule="auto"/>
        <w:jc w:val="both"/>
        <w:rPr>
          <w:b/>
          <w:sz w:val="24"/>
          <w:szCs w:val="24"/>
        </w:rPr>
      </w:pPr>
      <w:r w:rsidRPr="00E3242C">
        <w:rPr>
          <w:b/>
          <w:sz w:val="24"/>
          <w:szCs w:val="24"/>
        </w:rPr>
        <w:t xml:space="preserve">O-137 - Long-term neurodevelopmental outcomes in children with biliary atresia </w:t>
      </w:r>
    </w:p>
    <w:p w14:paraId="4DE70F83" w14:textId="77777777" w:rsidR="00C72566" w:rsidRPr="002E6CD9" w:rsidRDefault="00C72566" w:rsidP="00C72566">
      <w:pPr>
        <w:spacing w:line="360" w:lineRule="auto"/>
        <w:jc w:val="both"/>
        <w:rPr>
          <w:b/>
          <w:i/>
          <w:color w:val="808080" w:themeColor="background1" w:themeShade="80"/>
          <w:sz w:val="24"/>
          <w:szCs w:val="24"/>
        </w:rPr>
      </w:pPr>
      <w:r w:rsidRPr="002E6CD9">
        <w:rPr>
          <w:b/>
          <w:i/>
          <w:color w:val="808080" w:themeColor="background1" w:themeShade="80"/>
          <w:sz w:val="24"/>
          <w:szCs w:val="24"/>
        </w:rPr>
        <w:t xml:space="preserve">Lyan Hendrika Rodijk, Groningen, Netherlands </w:t>
      </w:r>
    </w:p>
    <w:p w14:paraId="344B03EF" w14:textId="77777777" w:rsidR="00C72566" w:rsidRPr="004E49BE" w:rsidRDefault="00C72566" w:rsidP="00C72566">
      <w:pPr>
        <w:jc w:val="both"/>
        <w:rPr>
          <w:rFonts w:cs="Times New Roman"/>
          <w:sz w:val="24"/>
          <w:szCs w:val="24"/>
        </w:rPr>
      </w:pPr>
      <w:r w:rsidRPr="004E49BE">
        <w:rPr>
          <w:rFonts w:cs="Times New Roman"/>
          <w:sz w:val="24"/>
          <w:szCs w:val="24"/>
        </w:rPr>
        <w:t xml:space="preserve">Forty-six children with a median age of 11 years were included in the study, of whom 78% had undergone a LT. Risk factors for impaired neurodevelopment included intracranial haemorrhage, liver failure, growth failure, surgery and multiple admissions. A higher fraction of school-aged children with biliary atresia had neurodevelopmental impairments compared to the normal population, especially with regards to motor skills. There was no difference in impairment between those who underwent a transplant and those who did not.  Neurodevelopmental intervention programs need to assess whether these long term outcomes can be improved. </w:t>
      </w:r>
    </w:p>
    <w:p w14:paraId="3CE2BE84" w14:textId="77777777" w:rsidR="00C72566" w:rsidRPr="004E49BE" w:rsidRDefault="00C72566" w:rsidP="00C72566">
      <w:pPr>
        <w:spacing w:line="360" w:lineRule="auto"/>
        <w:rPr>
          <w:rFonts w:cs="Times New Roman"/>
          <w:sz w:val="24"/>
          <w:szCs w:val="24"/>
        </w:rPr>
      </w:pPr>
    </w:p>
    <w:p w14:paraId="66D215D2" w14:textId="77777777" w:rsidR="002D2EB2" w:rsidRDefault="00C72566" w:rsidP="00C72566">
      <w:pPr>
        <w:spacing w:after="0" w:line="240" w:lineRule="auto"/>
        <w:rPr>
          <w:b/>
          <w:sz w:val="24"/>
          <w:szCs w:val="24"/>
        </w:rPr>
      </w:pPr>
      <w:r w:rsidRPr="00E3242C">
        <w:rPr>
          <w:b/>
          <w:sz w:val="24"/>
          <w:szCs w:val="24"/>
        </w:rPr>
        <w:t>O-138 - Study on the risk factors of portal vein stenosis after pediatric l</w:t>
      </w:r>
      <w:r>
        <w:rPr>
          <w:b/>
          <w:sz w:val="24"/>
          <w:szCs w:val="24"/>
        </w:rPr>
        <w:t xml:space="preserve">iver transplantation </w:t>
      </w:r>
    </w:p>
    <w:p w14:paraId="61B3ADDC" w14:textId="249BF6A7" w:rsidR="00C72566" w:rsidRDefault="00C72566" w:rsidP="00C72566">
      <w:pPr>
        <w:spacing w:after="0" w:line="240" w:lineRule="auto"/>
        <w:rPr>
          <w:b/>
          <w:sz w:val="24"/>
          <w:szCs w:val="24"/>
        </w:rPr>
      </w:pPr>
      <w:r w:rsidRPr="002E6CD9">
        <w:rPr>
          <w:b/>
          <w:i/>
          <w:color w:val="808080" w:themeColor="background1" w:themeShade="80"/>
          <w:sz w:val="24"/>
          <w:szCs w:val="24"/>
        </w:rPr>
        <w:t>Yin Chao, Beijing, China</w:t>
      </w:r>
      <w:r w:rsidRPr="00E3242C">
        <w:rPr>
          <w:b/>
          <w:sz w:val="24"/>
          <w:szCs w:val="24"/>
        </w:rPr>
        <w:t xml:space="preserve"> </w:t>
      </w:r>
    </w:p>
    <w:p w14:paraId="4521BDF1" w14:textId="77777777" w:rsidR="00C72566" w:rsidRDefault="00C72566" w:rsidP="00C72566">
      <w:pPr>
        <w:spacing w:after="0" w:line="240" w:lineRule="auto"/>
        <w:rPr>
          <w:b/>
          <w:sz w:val="24"/>
          <w:szCs w:val="24"/>
        </w:rPr>
      </w:pPr>
    </w:p>
    <w:p w14:paraId="3A80AB68" w14:textId="77777777" w:rsidR="00C72566" w:rsidRDefault="00C72566" w:rsidP="00C72566">
      <w:pPr>
        <w:rPr>
          <w:rFonts w:cs="Times New Roman"/>
          <w:sz w:val="24"/>
          <w:szCs w:val="24"/>
        </w:rPr>
      </w:pPr>
      <w:r w:rsidRPr="004E49BE">
        <w:rPr>
          <w:rFonts w:cs="Times New Roman"/>
          <w:sz w:val="24"/>
          <w:szCs w:val="24"/>
        </w:rPr>
        <w:lastRenderedPageBreak/>
        <w:t>Risk factors for PVS on multivariate analysis included a recipient portal vein diameter of ≤4 mm and the use of cold preserved graft veins.</w:t>
      </w:r>
    </w:p>
    <w:p w14:paraId="753C7AFC" w14:textId="77777777" w:rsidR="00C72566" w:rsidRDefault="00C72566" w:rsidP="00C72566">
      <w:pPr>
        <w:rPr>
          <w:rFonts w:cs="Times New Roman"/>
          <w:sz w:val="24"/>
          <w:szCs w:val="24"/>
        </w:rPr>
      </w:pPr>
    </w:p>
    <w:p w14:paraId="2C471D52" w14:textId="77777777" w:rsidR="00C72566" w:rsidRPr="00997FFC" w:rsidRDefault="00C72566" w:rsidP="00C72566">
      <w:pPr>
        <w:rPr>
          <w:b/>
          <w:sz w:val="28"/>
          <w:lang w:val="en-GB"/>
        </w:rPr>
      </w:pPr>
      <w:r w:rsidRPr="007266DF">
        <w:rPr>
          <w:b/>
          <w:sz w:val="28"/>
          <w:lang w:val="en-GB"/>
        </w:rPr>
        <w:t>P</w:t>
      </w:r>
      <w:r>
        <w:rPr>
          <w:b/>
          <w:sz w:val="28"/>
          <w:lang w:val="en-GB"/>
        </w:rPr>
        <w:t>a</w:t>
      </w:r>
      <w:r w:rsidRPr="007266DF">
        <w:rPr>
          <w:b/>
          <w:sz w:val="28"/>
          <w:lang w:val="en-GB"/>
        </w:rPr>
        <w:t>ediatric session II</w:t>
      </w:r>
      <w:r>
        <w:rPr>
          <w:b/>
          <w:sz w:val="28"/>
          <w:lang w:val="en-GB"/>
        </w:rPr>
        <w:t>: The Journey towards the vision of “one transplant for life”</w:t>
      </w:r>
    </w:p>
    <w:p w14:paraId="3F3C8B5C" w14:textId="77777777" w:rsidR="007D2151" w:rsidRDefault="007D2151" w:rsidP="007D2151">
      <w:pPr>
        <w:spacing w:line="360" w:lineRule="auto"/>
        <w:rPr>
          <w:b/>
          <w:sz w:val="24"/>
          <w:szCs w:val="24"/>
        </w:rPr>
      </w:pPr>
      <w:r w:rsidRPr="007D2151">
        <w:rPr>
          <w:b/>
          <w:sz w:val="24"/>
          <w:szCs w:val="24"/>
        </w:rPr>
        <w:t>Histological findings in late paediatric post-transplant biopsies: what the pathologist sees that we don’t see</w:t>
      </w:r>
    </w:p>
    <w:p w14:paraId="10BB2796" w14:textId="77777777" w:rsidR="007D2151" w:rsidRPr="007D2151" w:rsidRDefault="007D2151" w:rsidP="007D2151">
      <w:pPr>
        <w:spacing w:line="360" w:lineRule="auto"/>
        <w:rPr>
          <w:b/>
          <w:i/>
          <w:color w:val="808080" w:themeColor="background1" w:themeShade="80"/>
          <w:sz w:val="24"/>
          <w:szCs w:val="24"/>
        </w:rPr>
      </w:pPr>
      <w:r w:rsidRPr="007D2151">
        <w:rPr>
          <w:b/>
          <w:i/>
          <w:color w:val="808080" w:themeColor="background1" w:themeShade="80"/>
          <w:sz w:val="24"/>
          <w:szCs w:val="24"/>
        </w:rPr>
        <w:t>Stefan Hübscher, Birmingham, United Kingdom</w:t>
      </w:r>
    </w:p>
    <w:p w14:paraId="76EA4CD4" w14:textId="77777777" w:rsidR="00C72566" w:rsidRDefault="00C72566" w:rsidP="00C72566">
      <w:pPr>
        <w:jc w:val="both"/>
        <w:rPr>
          <w:lang w:val="en-GB"/>
        </w:rPr>
      </w:pPr>
      <w:r w:rsidRPr="007266DF">
        <w:rPr>
          <w:lang w:val="en-GB"/>
        </w:rPr>
        <w:t>During the p</w:t>
      </w:r>
      <w:r>
        <w:rPr>
          <w:lang w:val="en-GB"/>
        </w:rPr>
        <w:t>a</w:t>
      </w:r>
      <w:r w:rsidRPr="007266DF">
        <w:rPr>
          <w:lang w:val="en-GB"/>
        </w:rPr>
        <w:t xml:space="preserve">ediatric session </w:t>
      </w:r>
      <w:r>
        <w:rPr>
          <w:lang w:val="en-GB"/>
        </w:rPr>
        <w:t>Stefan</w:t>
      </w:r>
      <w:r w:rsidRPr="007266DF">
        <w:rPr>
          <w:lang w:val="en-GB"/>
        </w:rPr>
        <w:t xml:space="preserve"> </w:t>
      </w:r>
      <w:r w:rsidRPr="00997FFC">
        <w:rPr>
          <w:lang w:val="en-GB"/>
        </w:rPr>
        <w:t>Hübscher</w:t>
      </w:r>
      <w:r w:rsidRPr="007266DF">
        <w:rPr>
          <w:lang w:val="en-GB"/>
        </w:rPr>
        <w:t xml:space="preserve"> </w:t>
      </w:r>
      <w:r>
        <w:rPr>
          <w:lang w:val="en-GB"/>
        </w:rPr>
        <w:t>highlighted the presence of histological abnormalities in late post-transplant biopsies in paediatric patients. These are indeed reported even with normal graft function and normal- or near-normal liver function tests. Most common findings are inflammation and fibrosis, the prevalence of which increases with time. Most cases of otherwise unexplained graft inflammation and fibrosis probably reflect alloimmune injury, which may involve both T cell-mediated and antibody-mediated mechanisms. Further studies are required to address the pathogenesis and natural history of graft fibrosis, novel biomarkers of graft injury and treatment strategies to prevent fibrosis progression.</w:t>
      </w:r>
    </w:p>
    <w:p w14:paraId="159248B8" w14:textId="77777777" w:rsidR="007D2151" w:rsidRDefault="007D2151" w:rsidP="00C72566">
      <w:pPr>
        <w:jc w:val="both"/>
        <w:rPr>
          <w:b/>
          <w:sz w:val="24"/>
          <w:szCs w:val="24"/>
        </w:rPr>
      </w:pPr>
      <w:r w:rsidRPr="007D2151">
        <w:rPr>
          <w:b/>
          <w:sz w:val="24"/>
          <w:szCs w:val="24"/>
        </w:rPr>
        <w:t>Subclinical chronic graft injury in very stable pediatric liver transplant recipients: What the clinician has to deal with?</w:t>
      </w:r>
    </w:p>
    <w:p w14:paraId="27FC7D4F" w14:textId="77777777" w:rsidR="007D2151" w:rsidRPr="007D2151" w:rsidRDefault="007D2151" w:rsidP="00C72566">
      <w:pPr>
        <w:jc w:val="both"/>
        <w:rPr>
          <w:b/>
          <w:i/>
          <w:color w:val="808080" w:themeColor="background1" w:themeShade="80"/>
          <w:sz w:val="24"/>
          <w:szCs w:val="24"/>
        </w:rPr>
      </w:pPr>
      <w:r w:rsidRPr="007D2151">
        <w:rPr>
          <w:b/>
          <w:i/>
          <w:color w:val="808080" w:themeColor="background1" w:themeShade="80"/>
          <w:sz w:val="24"/>
          <w:szCs w:val="24"/>
        </w:rPr>
        <w:t>Timucin Taner, Rochester, United States</w:t>
      </w:r>
    </w:p>
    <w:p w14:paraId="1C5FF799" w14:textId="77777777" w:rsidR="00C72566" w:rsidRDefault="00C72566" w:rsidP="00C72566">
      <w:pPr>
        <w:jc w:val="both"/>
        <w:rPr>
          <w:lang w:val="en-GB"/>
        </w:rPr>
      </w:pPr>
      <w:r>
        <w:rPr>
          <w:lang w:val="en-GB"/>
        </w:rPr>
        <w:t>Timucin Taner in his talk emphasised that an untreated inflammation would ultimately become fibrosis. As there is a correlation between the presence of donor specific antibodies and fibrosis, if the biopsy shows fibrosis, it is necessary increase the immunosuppression (IS) level. The inflammation is reversible with an high level of IS, but fibrosis might be not adjustable. The only way to detect both injuries is a protocol biopsy.</w:t>
      </w:r>
    </w:p>
    <w:p w14:paraId="28AA6F64" w14:textId="77777777" w:rsidR="007D2151" w:rsidRDefault="007D2151" w:rsidP="00C72566">
      <w:pPr>
        <w:jc w:val="both"/>
        <w:rPr>
          <w:b/>
          <w:sz w:val="24"/>
          <w:szCs w:val="24"/>
        </w:rPr>
      </w:pPr>
      <w:r w:rsidRPr="007D2151">
        <w:rPr>
          <w:b/>
          <w:sz w:val="24"/>
          <w:szCs w:val="24"/>
        </w:rPr>
        <w:t>The challenges with TOO MUCH immunosuppression: Extra-hepatic diseases in liver transplanted children and adolescents – cardiovascular, PTLD, renal</w:t>
      </w:r>
    </w:p>
    <w:p w14:paraId="2D801BC2" w14:textId="77777777" w:rsidR="007D2151" w:rsidRPr="007D2151" w:rsidRDefault="007D2151" w:rsidP="00C72566">
      <w:pPr>
        <w:jc w:val="both"/>
        <w:rPr>
          <w:b/>
          <w:i/>
          <w:color w:val="808080" w:themeColor="background1" w:themeShade="80"/>
          <w:sz w:val="24"/>
          <w:szCs w:val="24"/>
        </w:rPr>
      </w:pPr>
      <w:r w:rsidRPr="007D2151">
        <w:rPr>
          <w:b/>
          <w:i/>
          <w:color w:val="808080" w:themeColor="background1" w:themeShade="80"/>
          <w:sz w:val="24"/>
          <w:szCs w:val="24"/>
        </w:rPr>
        <w:t>Ulrich Baumann, Hannover, Germany</w:t>
      </w:r>
    </w:p>
    <w:p w14:paraId="26B59F72" w14:textId="77777777" w:rsidR="00C72566" w:rsidRDefault="00C72566" w:rsidP="00C72566">
      <w:pPr>
        <w:jc w:val="both"/>
        <w:rPr>
          <w:lang w:val="en-GB"/>
        </w:rPr>
      </w:pPr>
      <w:r>
        <w:rPr>
          <w:lang w:val="en-GB"/>
        </w:rPr>
        <w:t>Increasing immunosuppression is “not the key to open every door”. It is well known that too much immunosuppression can cause toxic effects, and might contribute to morbidity and mortality after paediatric transplantation. As Baumann reminded, renal impairment, cardio vascular disease, PTLD and neurotoxicity are frequent in these patients. Current protocols are mainly based on clinical experience and therapeutic drug monitoring.</w:t>
      </w:r>
    </w:p>
    <w:p w14:paraId="20B29436" w14:textId="77777777" w:rsidR="007D2151" w:rsidRPr="007D2151" w:rsidRDefault="007D2151" w:rsidP="00C72566">
      <w:pPr>
        <w:jc w:val="both"/>
        <w:rPr>
          <w:b/>
          <w:sz w:val="24"/>
          <w:szCs w:val="24"/>
        </w:rPr>
      </w:pPr>
      <w:r w:rsidRPr="007D2151">
        <w:rPr>
          <w:b/>
          <w:sz w:val="24"/>
          <w:szCs w:val="24"/>
        </w:rPr>
        <w:lastRenderedPageBreak/>
        <w:t>Transition from pediatric to adult care after pediatric liver transplantation: What do adult care teams need from the pediatric teams?</w:t>
      </w:r>
    </w:p>
    <w:p w14:paraId="7DEC8D24" w14:textId="77777777" w:rsidR="007D2151" w:rsidRPr="007D2151" w:rsidRDefault="007D2151" w:rsidP="007D2151">
      <w:pPr>
        <w:spacing w:after="0" w:line="240" w:lineRule="auto"/>
        <w:rPr>
          <w:b/>
          <w:i/>
          <w:color w:val="808080" w:themeColor="background1" w:themeShade="80"/>
          <w:sz w:val="24"/>
          <w:szCs w:val="24"/>
        </w:rPr>
      </w:pPr>
      <w:r w:rsidRPr="007D2151">
        <w:rPr>
          <w:b/>
          <w:i/>
          <w:color w:val="808080" w:themeColor="background1" w:themeShade="80"/>
          <w:sz w:val="24"/>
          <w:szCs w:val="24"/>
        </w:rPr>
        <w:t xml:space="preserve">Marianne Samyn, London, United Kingdom </w:t>
      </w:r>
    </w:p>
    <w:p w14:paraId="76EFA0C0" w14:textId="77777777" w:rsidR="007D2151" w:rsidRDefault="007D2151" w:rsidP="00C72566">
      <w:pPr>
        <w:jc w:val="both"/>
        <w:rPr>
          <w:rFonts w:ascii="Times" w:eastAsia="Times New Roman" w:hAnsi="Times" w:cs="Times New Roman"/>
          <w:sz w:val="20"/>
          <w:szCs w:val="20"/>
          <w:lang w:eastAsia="fr-FR"/>
        </w:rPr>
      </w:pPr>
    </w:p>
    <w:p w14:paraId="61F6DD8F" w14:textId="77777777" w:rsidR="00C72566" w:rsidRPr="007266DF" w:rsidRDefault="00C72566" w:rsidP="00C72566">
      <w:pPr>
        <w:jc w:val="both"/>
        <w:rPr>
          <w:lang w:val="en-GB"/>
        </w:rPr>
      </w:pPr>
      <w:r>
        <w:rPr>
          <w:lang w:val="en-GB"/>
        </w:rPr>
        <w:t>Mari</w:t>
      </w:r>
      <w:r w:rsidRPr="00A96A05">
        <w:rPr>
          <w:lang w:val="en-GB"/>
        </w:rPr>
        <w:t>anne Samyn</w:t>
      </w:r>
      <w:r>
        <w:rPr>
          <w:lang w:val="en-GB"/>
        </w:rPr>
        <w:t xml:space="preserve"> drew attention to the transition clinic, speaking about what the adult care teams need from the paediatric team. Transition can be defined as a purposeful, planned process that addresses the medical, psychosocial and educational/vocational needs of adolescents and young adults with chronic disease as they move from child-centred to adult-oriented health care system. For these patients key components are: proactive approach, treating the young person as a young person. Communication should involve not only family, but also friends, and partners. Teenagers are the most misunderstood people as they are treated as a child but they are expected to behave as adults. The service needs to have an holistic approach to address their psychosocial, educational and vocational needs.</w:t>
      </w:r>
    </w:p>
    <w:p w14:paraId="569EA1DF" w14:textId="77777777" w:rsidR="005B17DF" w:rsidRDefault="005B17DF"/>
    <w:sectPr w:rsidR="005B17DF" w:rsidSect="004277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566"/>
    <w:rsid w:val="002D2EB2"/>
    <w:rsid w:val="00427728"/>
    <w:rsid w:val="004E12D8"/>
    <w:rsid w:val="005B17DF"/>
    <w:rsid w:val="007D2151"/>
    <w:rsid w:val="00B57FDB"/>
    <w:rsid w:val="00BC7CEC"/>
    <w:rsid w:val="00C72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A5AC8D"/>
  <w14:defaultImageDpi w14:val="300"/>
  <w15:docId w15:val="{AA893963-AC24-8F48-8A51-770F2892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566"/>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7D2151"/>
  </w:style>
  <w:style w:type="character" w:customStyle="1" w:styleId="presentation-title">
    <w:name w:val="presentation-title"/>
    <w:basedOn w:val="DefaultParagraphFont"/>
    <w:rsid w:val="007D2151"/>
  </w:style>
  <w:style w:type="character" w:customStyle="1" w:styleId="ng-binding">
    <w:name w:val="ng-binding"/>
    <w:basedOn w:val="DefaultParagraphFont"/>
    <w:rsid w:val="007D2151"/>
  </w:style>
  <w:style w:type="character" w:customStyle="1" w:styleId="ng-scope">
    <w:name w:val="ng-scope"/>
    <w:basedOn w:val="DefaultParagraphFont"/>
    <w:rsid w:val="007D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10225">
      <w:bodyDiv w:val="1"/>
      <w:marLeft w:val="0"/>
      <w:marRight w:val="0"/>
      <w:marTop w:val="0"/>
      <w:marBottom w:val="0"/>
      <w:divBdr>
        <w:top w:val="none" w:sz="0" w:space="0" w:color="auto"/>
        <w:left w:val="none" w:sz="0" w:space="0" w:color="auto"/>
        <w:bottom w:val="none" w:sz="0" w:space="0" w:color="auto"/>
        <w:right w:val="none" w:sz="0" w:space="0" w:color="auto"/>
      </w:divBdr>
      <w:divsChild>
        <w:div w:id="495540775">
          <w:marLeft w:val="0"/>
          <w:marRight w:val="0"/>
          <w:marTop w:val="0"/>
          <w:marBottom w:val="0"/>
          <w:divBdr>
            <w:top w:val="none" w:sz="0" w:space="0" w:color="auto"/>
            <w:left w:val="none" w:sz="0" w:space="0" w:color="auto"/>
            <w:bottom w:val="none" w:sz="0" w:space="0" w:color="auto"/>
            <w:right w:val="none" w:sz="0" w:space="0" w:color="auto"/>
          </w:divBdr>
        </w:div>
        <w:div w:id="9789183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9447</Characters>
  <Application>Microsoft Office Word</Application>
  <DocSecurity>0</DocSecurity>
  <Lines>78</Lines>
  <Paragraphs>22</Paragraphs>
  <ScaleCrop>false</ScaleCrop>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Bhangui</dc:creator>
  <cp:keywords/>
  <dc:description/>
  <cp:lastModifiedBy>johnrklinck@gmail.com</cp:lastModifiedBy>
  <cp:revision>2</cp:revision>
  <dcterms:created xsi:type="dcterms:W3CDTF">2019-07-03T21:24:00Z</dcterms:created>
  <dcterms:modified xsi:type="dcterms:W3CDTF">2019-07-03T21:24:00Z</dcterms:modified>
</cp:coreProperties>
</file>